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2B" w:rsidRDefault="00B0072B" w:rsidP="00E714D8">
      <w:pPr>
        <w:rPr>
          <w:rStyle w:val="fontstyle21"/>
          <w:rFonts w:ascii="Arial" w:hAnsi="Arial" w:cs="Arial"/>
          <w:i w:val="0"/>
          <w:sz w:val="22"/>
          <w:szCs w:val="22"/>
        </w:rPr>
      </w:pPr>
    </w:p>
    <w:p w:rsidR="00E714D8" w:rsidRPr="002A649E" w:rsidRDefault="00E714D8" w:rsidP="00E714D8">
      <w:pPr>
        <w:contextualSpacing/>
        <w:rPr>
          <w:rStyle w:val="fontstyle21"/>
          <w:rFonts w:ascii="Arial" w:hAnsi="Arial" w:cs="Arial"/>
          <w:i w:val="0"/>
          <w:sz w:val="20"/>
          <w:szCs w:val="20"/>
        </w:rPr>
      </w:pPr>
      <w:r w:rsidRPr="002A649E">
        <w:rPr>
          <w:rStyle w:val="fontstyle21"/>
          <w:rFonts w:ascii="Arial" w:hAnsi="Arial" w:cs="Arial"/>
          <w:i w:val="0"/>
          <w:sz w:val="20"/>
          <w:szCs w:val="20"/>
        </w:rPr>
        <w:t>Plan Sponsor acknowledges and agrees that:</w:t>
      </w:r>
    </w:p>
    <w:p w:rsidR="00E714D8" w:rsidRPr="002A649E" w:rsidRDefault="00E714D8" w:rsidP="002A649E">
      <w:pPr>
        <w:pStyle w:val="ListParagraph"/>
        <w:numPr>
          <w:ilvl w:val="0"/>
          <w:numId w:val="2"/>
        </w:numPr>
        <w:spacing w:after="120"/>
        <w:ind w:left="360" w:right="270"/>
        <w:contextualSpacing w:val="0"/>
        <w:rPr>
          <w:rStyle w:val="fontstyle31"/>
          <w:rFonts w:ascii="Arial" w:hAnsi="Arial" w:cs="Arial"/>
          <w:sz w:val="20"/>
          <w:szCs w:val="20"/>
        </w:rPr>
      </w:pPr>
      <w:proofErr w:type="gramStart"/>
      <w:r w:rsidRPr="002A649E">
        <w:rPr>
          <w:rStyle w:val="fontstyle31"/>
          <w:rFonts w:ascii="Arial" w:hAnsi="Arial" w:cs="Arial"/>
          <w:sz w:val="20"/>
          <w:szCs w:val="20"/>
        </w:rPr>
        <w:t xml:space="preserve">It is solely responsible for assessing and concluding that remuneration paid to the third party named 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 xml:space="preserve">in the Third Party Billing Authorization or Advisor Information and Authorization form </w:t>
      </w:r>
      <w:r w:rsidRPr="002A649E">
        <w:rPr>
          <w:rStyle w:val="fontstyle31"/>
          <w:rFonts w:ascii="Arial" w:hAnsi="Arial" w:cs="Arial"/>
          <w:sz w:val="20"/>
          <w:szCs w:val="20"/>
        </w:rPr>
        <w:t>(the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 xml:space="preserve"> </w:t>
      </w:r>
      <w:r w:rsidRPr="002A649E">
        <w:rPr>
          <w:rStyle w:val="fontstyle31"/>
          <w:rFonts w:ascii="Arial" w:hAnsi="Arial" w:cs="Arial"/>
          <w:sz w:val="20"/>
          <w:szCs w:val="20"/>
        </w:rPr>
        <w:t xml:space="preserve">“Third Party”) 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 xml:space="preserve">with Newport Group, Inc. (“Newport”) </w:t>
      </w:r>
      <w:r w:rsidRPr="002A649E">
        <w:rPr>
          <w:rStyle w:val="fontstyle31"/>
          <w:rFonts w:ascii="Arial" w:hAnsi="Arial" w:cs="Arial"/>
          <w:sz w:val="20"/>
          <w:szCs w:val="20"/>
        </w:rPr>
        <w:t>is reasonable under applicable laws, rules and regulations, and that the use of Plan assets to pay Third Party is consistent with all applicable laws.</w:t>
      </w:r>
      <w:proofErr w:type="gramEnd"/>
    </w:p>
    <w:p w:rsidR="00E714D8" w:rsidRPr="002A649E" w:rsidRDefault="00E714D8" w:rsidP="002A649E">
      <w:pPr>
        <w:pStyle w:val="ListParagraph"/>
        <w:numPr>
          <w:ilvl w:val="0"/>
          <w:numId w:val="2"/>
        </w:numPr>
        <w:spacing w:after="120"/>
        <w:ind w:left="360" w:right="270"/>
        <w:contextualSpacing w:val="0"/>
        <w:rPr>
          <w:rStyle w:val="fontstyle31"/>
          <w:rFonts w:ascii="Arial" w:hAnsi="Arial" w:cs="Arial"/>
          <w:iCs/>
          <w:sz w:val="20"/>
          <w:szCs w:val="20"/>
        </w:rPr>
      </w:pPr>
      <w:r w:rsidRPr="002A649E">
        <w:rPr>
          <w:rStyle w:val="fontstyle31"/>
          <w:rFonts w:ascii="Arial" w:hAnsi="Arial" w:cs="Arial"/>
          <w:sz w:val="20"/>
          <w:szCs w:val="20"/>
        </w:rPr>
        <w:t>It is has determined the allocation of Third Party fees, if applicable, complies with applicable law.</w:t>
      </w:r>
    </w:p>
    <w:p w:rsidR="00E714D8" w:rsidRPr="002A649E" w:rsidRDefault="00E714D8" w:rsidP="002A649E">
      <w:pPr>
        <w:pStyle w:val="ListParagraph"/>
        <w:numPr>
          <w:ilvl w:val="0"/>
          <w:numId w:val="2"/>
        </w:numPr>
        <w:spacing w:after="120"/>
        <w:ind w:left="360" w:right="270"/>
        <w:contextualSpacing w:val="0"/>
        <w:rPr>
          <w:rFonts w:ascii="Arial" w:hAnsi="Arial" w:cs="Arial"/>
          <w:iCs/>
          <w:color w:val="000000"/>
          <w:sz w:val="20"/>
          <w:szCs w:val="20"/>
        </w:rPr>
      </w:pPr>
      <w:r w:rsidRPr="002A649E">
        <w:rPr>
          <w:rStyle w:val="fontstyle31"/>
          <w:rFonts w:ascii="Arial" w:hAnsi="Arial" w:cs="Arial"/>
          <w:sz w:val="20"/>
          <w:szCs w:val="20"/>
        </w:rPr>
        <w:t xml:space="preserve">If applicable, it has made or will make appropriate timely disclosures to participants regarding the allocation of Third Party fees described herein. </w:t>
      </w:r>
    </w:p>
    <w:p w:rsidR="00E714D8" w:rsidRPr="002A649E" w:rsidRDefault="00F54D43" w:rsidP="002A649E">
      <w:pPr>
        <w:pStyle w:val="ListParagraph"/>
        <w:numPr>
          <w:ilvl w:val="0"/>
          <w:numId w:val="2"/>
        </w:numPr>
        <w:spacing w:after="120"/>
        <w:ind w:left="360" w:right="270"/>
        <w:contextualSpacing w:val="0"/>
        <w:rPr>
          <w:rFonts w:ascii="Arial" w:hAnsi="Arial" w:cs="Arial"/>
          <w:iCs/>
          <w:color w:val="000000"/>
          <w:sz w:val="20"/>
          <w:szCs w:val="20"/>
        </w:rPr>
      </w:pPr>
      <w:r w:rsidRPr="002A649E">
        <w:rPr>
          <w:rStyle w:val="fontstyle31"/>
          <w:rFonts w:ascii="Arial" w:hAnsi="Arial" w:cs="Arial"/>
          <w:sz w:val="20"/>
          <w:szCs w:val="20"/>
        </w:rPr>
        <w:t>Newport</w:t>
      </w:r>
      <w:r w:rsidR="00E714D8" w:rsidRPr="002A649E">
        <w:rPr>
          <w:rStyle w:val="fontstyle31"/>
          <w:rFonts w:ascii="Arial" w:hAnsi="Arial" w:cs="Arial"/>
          <w:sz w:val="20"/>
          <w:szCs w:val="20"/>
        </w:rPr>
        <w:t xml:space="preserve"> shall have no responsibility to calculate or verify the fees of Third Party that are invoiced or </w:t>
      </w:r>
      <w:proofErr w:type="gramStart"/>
      <w:r w:rsidR="00E714D8" w:rsidRPr="002A649E">
        <w:rPr>
          <w:rStyle w:val="fontstyle31"/>
          <w:rFonts w:ascii="Arial" w:hAnsi="Arial" w:cs="Arial"/>
          <w:sz w:val="20"/>
          <w:szCs w:val="20"/>
        </w:rPr>
        <w:t>directed to be paid</w:t>
      </w:r>
      <w:proofErr w:type="gramEnd"/>
      <w:r w:rsidR="00E714D8" w:rsidRPr="002A649E">
        <w:rPr>
          <w:rStyle w:val="fontstyle31"/>
          <w:rFonts w:ascii="Arial" w:hAnsi="Arial" w:cs="Arial"/>
          <w:sz w:val="20"/>
          <w:szCs w:val="20"/>
        </w:rPr>
        <w:t xml:space="preserve"> </w:t>
      </w:r>
      <w:r w:rsidRPr="002A649E">
        <w:rPr>
          <w:rStyle w:val="fontstyle31"/>
          <w:rFonts w:ascii="Arial" w:hAnsi="Arial" w:cs="Arial"/>
          <w:sz w:val="20"/>
          <w:szCs w:val="20"/>
        </w:rPr>
        <w:t>pursuant to the Authorization</w:t>
      </w:r>
      <w:r w:rsidR="00E714D8" w:rsidRPr="002A649E">
        <w:rPr>
          <w:rStyle w:val="fontstyle31"/>
          <w:rFonts w:ascii="Arial" w:hAnsi="Arial" w:cs="Arial"/>
          <w:sz w:val="20"/>
          <w:szCs w:val="20"/>
        </w:rPr>
        <w:t>.</w:t>
      </w:r>
    </w:p>
    <w:p w:rsidR="00E714D8" w:rsidRPr="002A649E" w:rsidRDefault="00F54D43" w:rsidP="002A649E">
      <w:pPr>
        <w:pStyle w:val="ListParagraph"/>
        <w:numPr>
          <w:ilvl w:val="0"/>
          <w:numId w:val="2"/>
        </w:numPr>
        <w:spacing w:after="120"/>
        <w:ind w:left="360" w:right="270"/>
        <w:contextualSpacing w:val="0"/>
        <w:rPr>
          <w:rStyle w:val="fontstyle31"/>
          <w:rFonts w:ascii="Arial" w:hAnsi="Arial" w:cs="Arial"/>
          <w:iCs/>
          <w:sz w:val="20"/>
          <w:szCs w:val="20"/>
        </w:rPr>
      </w:pPr>
      <w:proofErr w:type="gramStart"/>
      <w:r w:rsidRPr="002A649E">
        <w:rPr>
          <w:rStyle w:val="fontstyle31"/>
          <w:rFonts w:ascii="Arial" w:hAnsi="Arial" w:cs="Arial"/>
          <w:sz w:val="20"/>
          <w:szCs w:val="20"/>
        </w:rPr>
        <w:t>The</w:t>
      </w:r>
      <w:r w:rsidR="00E714D8" w:rsidRPr="002A649E">
        <w:rPr>
          <w:rStyle w:val="fontstyle31"/>
          <w:rFonts w:ascii="Arial" w:hAnsi="Arial" w:cs="Arial"/>
          <w:sz w:val="20"/>
          <w:szCs w:val="20"/>
        </w:rPr>
        <w:t xml:space="preserve"> Authorization may be terminated at any time by Plan Sponsor</w:t>
      </w:r>
      <w:proofErr w:type="gramEnd"/>
      <w:r w:rsidR="00E714D8" w:rsidRPr="002A649E">
        <w:rPr>
          <w:rStyle w:val="fontstyle31"/>
          <w:rFonts w:ascii="Arial" w:hAnsi="Arial" w:cs="Arial"/>
          <w:sz w:val="20"/>
          <w:szCs w:val="20"/>
        </w:rPr>
        <w:t xml:space="preserve"> upon written notice to </w:t>
      </w:r>
      <w:r w:rsidRPr="002A649E">
        <w:rPr>
          <w:rStyle w:val="fontstyle31"/>
          <w:rFonts w:ascii="Arial" w:hAnsi="Arial" w:cs="Arial"/>
          <w:sz w:val="20"/>
          <w:szCs w:val="20"/>
        </w:rPr>
        <w:t>Newport</w:t>
      </w:r>
      <w:r w:rsidR="00E714D8" w:rsidRPr="002A649E">
        <w:rPr>
          <w:rStyle w:val="fontstyle31"/>
          <w:rFonts w:ascii="Arial" w:hAnsi="Arial" w:cs="Arial"/>
          <w:sz w:val="20"/>
          <w:szCs w:val="20"/>
        </w:rPr>
        <w:t xml:space="preserve"> or automatically upon the termination of the Master Services Agreement between Plan Sponsor and </w:t>
      </w:r>
      <w:r w:rsidRPr="002A649E">
        <w:rPr>
          <w:rStyle w:val="fontstyle31"/>
          <w:rFonts w:ascii="Arial" w:hAnsi="Arial" w:cs="Arial"/>
          <w:sz w:val="20"/>
          <w:szCs w:val="20"/>
        </w:rPr>
        <w:t>Newport. If such</w:t>
      </w:r>
      <w:r w:rsidR="00E714D8" w:rsidRPr="002A649E">
        <w:rPr>
          <w:rStyle w:val="fontstyle31"/>
          <w:rFonts w:ascii="Arial" w:hAnsi="Arial" w:cs="Arial"/>
          <w:sz w:val="20"/>
          <w:szCs w:val="20"/>
        </w:rPr>
        <w:t xml:space="preserve"> Authorization is terminated as of a date other </w:t>
      </w:r>
      <w:proofErr w:type="gramStart"/>
      <w:r w:rsidR="00E714D8" w:rsidRPr="002A649E">
        <w:rPr>
          <w:rStyle w:val="fontstyle31"/>
          <w:rFonts w:ascii="Arial" w:hAnsi="Arial" w:cs="Arial"/>
          <w:sz w:val="20"/>
          <w:szCs w:val="20"/>
        </w:rPr>
        <w:t>than</w:t>
      </w:r>
      <w:proofErr w:type="gramEnd"/>
      <w:r w:rsidR="00E714D8" w:rsidRPr="002A649E">
        <w:rPr>
          <w:rStyle w:val="fontstyle31"/>
          <w:rFonts w:ascii="Arial" w:hAnsi="Arial" w:cs="Arial"/>
          <w:sz w:val="20"/>
          <w:szCs w:val="20"/>
        </w:rPr>
        <w:t xml:space="preserve"> the end of a quarter, </w:t>
      </w:r>
      <w:r w:rsidRPr="002A649E">
        <w:rPr>
          <w:rStyle w:val="fontstyle31"/>
          <w:rFonts w:ascii="Arial" w:hAnsi="Arial" w:cs="Arial"/>
          <w:sz w:val="20"/>
          <w:szCs w:val="20"/>
        </w:rPr>
        <w:t>Newport</w:t>
      </w:r>
      <w:r w:rsidR="00E714D8" w:rsidRPr="002A649E">
        <w:rPr>
          <w:rStyle w:val="fontstyle31"/>
          <w:rFonts w:ascii="Arial" w:hAnsi="Arial" w:cs="Arial"/>
          <w:sz w:val="20"/>
          <w:szCs w:val="20"/>
        </w:rPr>
        <w:t xml:space="preserve"> shall not be required to calculate, or pay any fees payable to Third Party on a pro-rated basis. </w:t>
      </w:r>
    </w:p>
    <w:p w:rsidR="00E714D8" w:rsidRPr="002A649E" w:rsidRDefault="00E714D8" w:rsidP="002A649E">
      <w:pPr>
        <w:pStyle w:val="ListParagraph"/>
        <w:numPr>
          <w:ilvl w:val="0"/>
          <w:numId w:val="2"/>
        </w:numPr>
        <w:spacing w:after="120"/>
        <w:ind w:left="360" w:right="270"/>
        <w:contextualSpacing w:val="0"/>
        <w:rPr>
          <w:rStyle w:val="fontstyle31"/>
          <w:rFonts w:ascii="Arial" w:hAnsi="Arial" w:cs="Arial"/>
          <w:iCs/>
          <w:sz w:val="20"/>
          <w:szCs w:val="20"/>
        </w:rPr>
      </w:pPr>
      <w:r w:rsidRPr="002A649E">
        <w:rPr>
          <w:rStyle w:val="fontstyle31"/>
          <w:rFonts w:ascii="Arial" w:hAnsi="Arial" w:cs="Arial"/>
          <w:sz w:val="20"/>
          <w:szCs w:val="20"/>
        </w:rPr>
        <w:t xml:space="preserve">If any changes </w:t>
      </w:r>
      <w:proofErr w:type="gramStart"/>
      <w:r w:rsidRPr="002A649E">
        <w:rPr>
          <w:rStyle w:val="fontstyle31"/>
          <w:rFonts w:ascii="Arial" w:hAnsi="Arial" w:cs="Arial"/>
          <w:sz w:val="20"/>
          <w:szCs w:val="20"/>
        </w:rPr>
        <w:t>are made</w:t>
      </w:r>
      <w:proofErr w:type="gramEnd"/>
      <w:r w:rsidR="00F54D43" w:rsidRPr="002A649E">
        <w:rPr>
          <w:rStyle w:val="fontstyle31"/>
          <w:rFonts w:ascii="Arial" w:hAnsi="Arial" w:cs="Arial"/>
          <w:sz w:val="20"/>
          <w:szCs w:val="20"/>
        </w:rPr>
        <w:t xml:space="preserve"> to the information in the</w:t>
      </w:r>
      <w:r w:rsidRPr="002A649E">
        <w:rPr>
          <w:rStyle w:val="fontstyle31"/>
          <w:rFonts w:ascii="Arial" w:hAnsi="Arial" w:cs="Arial"/>
          <w:sz w:val="20"/>
          <w:szCs w:val="20"/>
        </w:rPr>
        <w:t xml:space="preserve"> Authorization, the Plan Sponsor shall immediately notify 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>Newport</w:t>
      </w:r>
      <w:r w:rsidRPr="002A649E">
        <w:rPr>
          <w:rStyle w:val="fontstyle31"/>
          <w:rFonts w:ascii="Arial" w:hAnsi="Arial" w:cs="Arial"/>
          <w:sz w:val="20"/>
          <w:szCs w:val="20"/>
        </w:rPr>
        <w:t xml:space="preserve"> in writing. Until </w:t>
      </w:r>
      <w:proofErr w:type="gramStart"/>
      <w:r w:rsidRPr="002A649E">
        <w:rPr>
          <w:rStyle w:val="fontstyle31"/>
          <w:rFonts w:ascii="Arial" w:hAnsi="Arial" w:cs="Arial"/>
          <w:sz w:val="20"/>
          <w:szCs w:val="20"/>
        </w:rPr>
        <w:t xml:space="preserve">such notification is received by 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>Newport</w:t>
      </w:r>
      <w:r w:rsidRPr="002A649E">
        <w:rPr>
          <w:rStyle w:val="fontstyle31"/>
          <w:rFonts w:ascii="Arial" w:hAnsi="Arial" w:cs="Arial"/>
          <w:sz w:val="20"/>
          <w:szCs w:val="20"/>
        </w:rPr>
        <w:t xml:space="preserve"> and 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>until a new a</w:t>
      </w:r>
      <w:r w:rsidRPr="002A649E">
        <w:rPr>
          <w:rStyle w:val="fontstyle31"/>
          <w:rFonts w:ascii="Arial" w:hAnsi="Arial" w:cs="Arial"/>
          <w:sz w:val="20"/>
          <w:szCs w:val="20"/>
        </w:rPr>
        <w:t>uthorization that reflects the new information is executed by Plan Sponsor and Third Party</w:t>
      </w:r>
      <w:proofErr w:type="gramEnd"/>
      <w:r w:rsidRPr="002A649E">
        <w:rPr>
          <w:rStyle w:val="fontstyle31"/>
          <w:rFonts w:ascii="Arial" w:hAnsi="Arial" w:cs="Arial"/>
          <w:sz w:val="20"/>
          <w:szCs w:val="20"/>
        </w:rPr>
        <w:t xml:space="preserve">, 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>Newport</w:t>
      </w:r>
      <w:r w:rsidRPr="002A649E">
        <w:rPr>
          <w:rStyle w:val="fontstyle31"/>
          <w:rFonts w:ascii="Arial" w:hAnsi="Arial" w:cs="Arial"/>
          <w:sz w:val="20"/>
          <w:szCs w:val="20"/>
        </w:rPr>
        <w:t xml:space="preserve"> shall continue to follow 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>the terms of the</w:t>
      </w:r>
      <w:r w:rsidRPr="002A649E">
        <w:rPr>
          <w:rStyle w:val="fontstyle31"/>
          <w:rFonts w:ascii="Arial" w:hAnsi="Arial" w:cs="Arial"/>
          <w:sz w:val="20"/>
          <w:szCs w:val="20"/>
        </w:rPr>
        <w:t xml:space="preserve"> Authorization. Changes to the information 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>in the</w:t>
      </w:r>
      <w:r w:rsidRPr="002A649E">
        <w:rPr>
          <w:rStyle w:val="fontstyle31"/>
          <w:rFonts w:ascii="Arial" w:hAnsi="Arial" w:cs="Arial"/>
          <w:sz w:val="20"/>
          <w:szCs w:val="20"/>
        </w:rPr>
        <w:t xml:space="preserve"> Authorization will be implemented by 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>Newport</w:t>
      </w:r>
      <w:r w:rsidRPr="002A649E">
        <w:rPr>
          <w:rStyle w:val="fontstyle31"/>
          <w:rFonts w:ascii="Arial" w:hAnsi="Arial" w:cs="Arial"/>
          <w:sz w:val="20"/>
          <w:szCs w:val="20"/>
        </w:rPr>
        <w:t xml:space="preserve"> as of the first day of the quarter immediately following the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 xml:space="preserve"> </w:t>
      </w:r>
      <w:r w:rsidRPr="002A649E">
        <w:rPr>
          <w:rStyle w:val="fontstyle31"/>
          <w:rFonts w:ascii="Arial" w:hAnsi="Arial" w:cs="Arial"/>
          <w:sz w:val="20"/>
          <w:szCs w:val="20"/>
        </w:rPr>
        <w:t xml:space="preserve">quarter in which </w:t>
      </w:r>
      <w:proofErr w:type="gramStart"/>
      <w:r w:rsidRPr="002A649E">
        <w:rPr>
          <w:rStyle w:val="fontstyle31"/>
          <w:rFonts w:ascii="Arial" w:hAnsi="Arial" w:cs="Arial"/>
          <w:sz w:val="20"/>
          <w:szCs w:val="20"/>
        </w:rPr>
        <w:t xml:space="preserve">a new Third-Party Billing Authorization 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 xml:space="preserve">or Advisor Information and Authorization form </w:t>
      </w:r>
      <w:r w:rsidRPr="002A649E">
        <w:rPr>
          <w:rStyle w:val="fontstyle31"/>
          <w:rFonts w:ascii="Arial" w:hAnsi="Arial" w:cs="Arial"/>
          <w:sz w:val="20"/>
          <w:szCs w:val="20"/>
        </w:rPr>
        <w:t>has been executed by Plan Sponsor</w:t>
      </w:r>
      <w:proofErr w:type="gramEnd"/>
      <w:r w:rsidRPr="002A649E">
        <w:rPr>
          <w:rStyle w:val="fontstyle31"/>
          <w:rFonts w:ascii="Arial" w:hAnsi="Arial" w:cs="Arial"/>
          <w:sz w:val="20"/>
          <w:szCs w:val="20"/>
        </w:rPr>
        <w:t xml:space="preserve">. </w:t>
      </w:r>
      <w:proofErr w:type="gramStart"/>
      <w:r w:rsidR="00F54D43" w:rsidRPr="002A649E">
        <w:rPr>
          <w:rStyle w:val="fontstyle31"/>
          <w:rFonts w:ascii="Arial" w:hAnsi="Arial" w:cs="Arial"/>
          <w:sz w:val="20"/>
          <w:szCs w:val="20"/>
        </w:rPr>
        <w:t>Newport</w:t>
      </w:r>
      <w:r w:rsidRPr="002A649E">
        <w:rPr>
          <w:rStyle w:val="fontstyle31"/>
          <w:rFonts w:ascii="Arial" w:hAnsi="Arial" w:cs="Arial"/>
          <w:sz w:val="20"/>
          <w:szCs w:val="20"/>
        </w:rPr>
        <w:t xml:space="preserve"> shall have no liability for processing Third-Party fee payments in a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>ccordance with the terms of the</w:t>
      </w:r>
      <w:r w:rsidRPr="002A649E">
        <w:rPr>
          <w:rStyle w:val="fontstyle31"/>
          <w:rFonts w:ascii="Arial" w:hAnsi="Arial" w:cs="Arial"/>
          <w:sz w:val="20"/>
          <w:szCs w:val="20"/>
        </w:rPr>
        <w:t xml:space="preserve"> Authorization and the Plan Sponsor agrees to indemnify and hold harmless 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>Newport</w:t>
      </w:r>
      <w:r w:rsidRPr="002A649E">
        <w:rPr>
          <w:rStyle w:val="fontstyle31"/>
          <w:rFonts w:ascii="Arial" w:hAnsi="Arial" w:cs="Arial"/>
          <w:sz w:val="20"/>
          <w:szCs w:val="20"/>
        </w:rPr>
        <w:t xml:space="preserve"> for any losses to which it may become subject in connection wit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>h any matter arising out of the</w:t>
      </w:r>
      <w:r w:rsidRPr="002A649E">
        <w:rPr>
          <w:rStyle w:val="fontstyle31"/>
          <w:rFonts w:ascii="Arial" w:hAnsi="Arial" w:cs="Arial"/>
          <w:sz w:val="20"/>
          <w:szCs w:val="20"/>
        </w:rPr>
        <w:t xml:space="preserve"> Authorization, except to the extent such losses were the result of 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>Newport</w:t>
      </w:r>
      <w:r w:rsidRPr="002A649E">
        <w:rPr>
          <w:rStyle w:val="fontstyle31"/>
          <w:rFonts w:ascii="Arial" w:hAnsi="Arial" w:cs="Arial"/>
          <w:sz w:val="20"/>
          <w:szCs w:val="20"/>
        </w:rPr>
        <w:t>’s gross negligence or willful misconduct in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 xml:space="preserve"> </w:t>
      </w:r>
      <w:r w:rsidRPr="002A649E">
        <w:rPr>
          <w:rStyle w:val="fontstyle31"/>
          <w:rFonts w:ascii="Arial" w:hAnsi="Arial" w:cs="Arial"/>
          <w:sz w:val="20"/>
          <w:szCs w:val="20"/>
        </w:rPr>
        <w:t>performing its obligation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>s under the</w:t>
      </w:r>
      <w:r w:rsidRPr="002A649E">
        <w:rPr>
          <w:rStyle w:val="fontstyle31"/>
          <w:rFonts w:ascii="Arial" w:hAnsi="Arial" w:cs="Arial"/>
          <w:sz w:val="20"/>
          <w:szCs w:val="20"/>
        </w:rPr>
        <w:t xml:space="preserve"> Authorization.</w:t>
      </w:r>
      <w:proofErr w:type="gramEnd"/>
      <w:r w:rsidRPr="002A649E">
        <w:rPr>
          <w:rStyle w:val="fontstyle31"/>
          <w:rFonts w:ascii="Arial" w:hAnsi="Arial" w:cs="Arial"/>
          <w:sz w:val="20"/>
          <w:szCs w:val="20"/>
        </w:rPr>
        <w:t xml:space="preserve"> </w:t>
      </w:r>
    </w:p>
    <w:p w:rsidR="00E714D8" w:rsidRPr="002A649E" w:rsidRDefault="00E714D8" w:rsidP="002A649E">
      <w:pPr>
        <w:pStyle w:val="ListParagraph"/>
        <w:numPr>
          <w:ilvl w:val="0"/>
          <w:numId w:val="2"/>
        </w:numPr>
        <w:spacing w:after="120"/>
        <w:ind w:left="360" w:right="270"/>
        <w:contextualSpacing w:val="0"/>
        <w:rPr>
          <w:rStyle w:val="fontstyle31"/>
          <w:rFonts w:ascii="Arial" w:hAnsi="Arial" w:cs="Arial"/>
          <w:iCs/>
          <w:sz w:val="20"/>
          <w:szCs w:val="20"/>
        </w:rPr>
      </w:pPr>
      <w:r w:rsidRPr="002A649E">
        <w:rPr>
          <w:rStyle w:val="fontstyle31"/>
          <w:rFonts w:ascii="Arial" w:hAnsi="Arial" w:cs="Arial"/>
          <w:sz w:val="20"/>
          <w:szCs w:val="20"/>
        </w:rPr>
        <w:t xml:space="preserve">If a Third-Party fee payment </w:t>
      </w:r>
      <w:proofErr w:type="gramStart"/>
      <w:r w:rsidRPr="002A649E">
        <w:rPr>
          <w:rStyle w:val="fontstyle31"/>
          <w:rFonts w:ascii="Arial" w:hAnsi="Arial" w:cs="Arial"/>
          <w:sz w:val="20"/>
          <w:szCs w:val="20"/>
        </w:rPr>
        <w:t>is sent</w:t>
      </w:r>
      <w:proofErr w:type="gramEnd"/>
      <w:r w:rsidRPr="002A649E">
        <w:rPr>
          <w:rStyle w:val="fontstyle31"/>
          <w:rFonts w:ascii="Arial" w:hAnsi="Arial" w:cs="Arial"/>
          <w:sz w:val="20"/>
          <w:szCs w:val="20"/>
        </w:rPr>
        <w:t xml:space="preserve"> by 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>Newport</w:t>
      </w:r>
      <w:r w:rsidRPr="002A649E">
        <w:rPr>
          <w:rStyle w:val="fontstyle31"/>
          <w:rFonts w:ascii="Arial" w:hAnsi="Arial" w:cs="Arial"/>
          <w:sz w:val="20"/>
          <w:szCs w:val="20"/>
        </w:rPr>
        <w:t xml:space="preserve"> via ACH, the Third Party shall have fifteen (15) calendar days from the transfer date to review such ACH for accuracy. Upon the expiration of such fifteen (15) day period, 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>Newport</w:t>
      </w:r>
      <w:r w:rsidRPr="002A649E">
        <w:rPr>
          <w:rStyle w:val="fontstyle31"/>
          <w:rFonts w:ascii="Arial" w:hAnsi="Arial" w:cs="Arial"/>
          <w:sz w:val="20"/>
          <w:szCs w:val="20"/>
        </w:rPr>
        <w:t xml:space="preserve"> </w:t>
      </w:r>
      <w:proofErr w:type="gramStart"/>
      <w:r w:rsidRPr="002A649E">
        <w:rPr>
          <w:rStyle w:val="fontstyle31"/>
          <w:rFonts w:ascii="Arial" w:hAnsi="Arial" w:cs="Arial"/>
          <w:sz w:val="20"/>
          <w:szCs w:val="20"/>
        </w:rPr>
        <w:t>shall be</w:t>
      </w:r>
      <w:r w:rsidR="00F54D43" w:rsidRPr="002A649E">
        <w:rPr>
          <w:rStyle w:val="fontstyle31"/>
          <w:rFonts w:ascii="Arial" w:hAnsi="Arial" w:cs="Arial"/>
          <w:sz w:val="20"/>
          <w:szCs w:val="20"/>
        </w:rPr>
        <w:t xml:space="preserve"> </w:t>
      </w:r>
      <w:r w:rsidRPr="002A649E">
        <w:rPr>
          <w:rStyle w:val="fontstyle31"/>
          <w:rFonts w:ascii="Arial" w:hAnsi="Arial" w:cs="Arial"/>
          <w:sz w:val="20"/>
          <w:szCs w:val="20"/>
        </w:rPr>
        <w:t>forever released and discharged from all obligations and liability relating to such amount</w:t>
      </w:r>
      <w:proofErr w:type="gramEnd"/>
      <w:r w:rsidRPr="002A649E">
        <w:rPr>
          <w:rStyle w:val="fontstyle31"/>
          <w:rFonts w:ascii="Arial" w:hAnsi="Arial" w:cs="Arial"/>
          <w:sz w:val="20"/>
          <w:szCs w:val="20"/>
        </w:rPr>
        <w:t xml:space="preserve">. </w:t>
      </w:r>
    </w:p>
    <w:p w:rsidR="008723D9" w:rsidRPr="002A649E" w:rsidRDefault="00E714D8" w:rsidP="002A649E">
      <w:pPr>
        <w:pStyle w:val="ListParagraph"/>
        <w:numPr>
          <w:ilvl w:val="0"/>
          <w:numId w:val="2"/>
        </w:numPr>
        <w:spacing w:after="120"/>
        <w:ind w:left="360" w:right="270"/>
        <w:contextualSpacing w:val="0"/>
        <w:rPr>
          <w:rFonts w:ascii="Arial" w:hAnsi="Arial" w:cs="Arial"/>
          <w:iCs/>
          <w:color w:val="000000"/>
          <w:sz w:val="20"/>
          <w:szCs w:val="20"/>
        </w:rPr>
      </w:pPr>
      <w:r w:rsidRPr="002A649E">
        <w:rPr>
          <w:rFonts w:ascii="Arial" w:hAnsi="Arial" w:cs="Arial"/>
          <w:color w:val="000000"/>
          <w:sz w:val="20"/>
          <w:szCs w:val="20"/>
        </w:rPr>
        <w:t xml:space="preserve">If a fee payment is made by </w:t>
      </w:r>
      <w:r w:rsidR="00F54D43" w:rsidRPr="002A649E">
        <w:rPr>
          <w:rFonts w:ascii="Arial" w:hAnsi="Arial" w:cs="Arial"/>
          <w:color w:val="000000"/>
          <w:sz w:val="20"/>
          <w:szCs w:val="20"/>
        </w:rPr>
        <w:t>Newport</w:t>
      </w:r>
      <w:r w:rsidRPr="002A649E">
        <w:rPr>
          <w:rFonts w:ascii="Arial" w:hAnsi="Arial" w:cs="Arial"/>
          <w:color w:val="000000"/>
          <w:sz w:val="20"/>
          <w:szCs w:val="20"/>
        </w:rPr>
        <w:t xml:space="preserve"> via check, then the fee applicable to such payment shall be considered to be paid in full as of the date that such check is cashed or deposited by the </w:t>
      </w:r>
      <w:proofErr w:type="gramStart"/>
      <w:r w:rsidRPr="002A649E">
        <w:rPr>
          <w:rFonts w:ascii="Arial" w:hAnsi="Arial" w:cs="Arial"/>
          <w:color w:val="000000"/>
          <w:sz w:val="20"/>
          <w:szCs w:val="20"/>
        </w:rPr>
        <w:t>Third-Party</w:t>
      </w:r>
      <w:proofErr w:type="gramEnd"/>
      <w:r w:rsidRPr="002A649E">
        <w:rPr>
          <w:rFonts w:ascii="Arial" w:hAnsi="Arial" w:cs="Arial"/>
          <w:color w:val="000000"/>
          <w:sz w:val="20"/>
          <w:szCs w:val="20"/>
        </w:rPr>
        <w:t>.</w:t>
      </w:r>
    </w:p>
    <w:sectPr w:rsidR="008723D9" w:rsidRPr="002A649E" w:rsidSect="002A64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6D" w:rsidRDefault="00EC0A6D" w:rsidP="00B0072B">
      <w:pPr>
        <w:spacing w:after="0" w:line="240" w:lineRule="auto"/>
      </w:pPr>
      <w:r>
        <w:separator/>
      </w:r>
    </w:p>
  </w:endnote>
  <w:endnote w:type="continuationSeparator" w:id="0">
    <w:p w:rsidR="00EC0A6D" w:rsidRDefault="00EC0A6D" w:rsidP="00B0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9E" w:rsidRDefault="002A6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2B" w:rsidRPr="003B0D13" w:rsidRDefault="00B0072B" w:rsidP="002A649E">
    <w:pPr>
      <w:pStyle w:val="Footer"/>
      <w:tabs>
        <w:tab w:val="clear" w:pos="9360"/>
      </w:tabs>
      <w:ind w:right="-360"/>
      <w:jc w:val="right"/>
      <w:rPr>
        <w:rFonts w:ascii="Arial" w:hAnsi="Arial"/>
        <w:sz w:val="16"/>
      </w:rPr>
    </w:pPr>
    <w:sdt>
      <w:sdtPr>
        <w:rPr>
          <w:b/>
          <w:bCs/>
          <w:i/>
          <w:iCs/>
        </w:rPr>
        <w:id w:val="1381203705"/>
        <w:docPartObj>
          <w:docPartGallery w:val="Page Numbers (Bottom of Page)"/>
          <w:docPartUnique/>
        </w:docPartObj>
      </w:sdtPr>
      <w:sdtEndPr>
        <w:rPr>
          <w:b w:val="0"/>
          <w:bCs w:val="0"/>
          <w:i w:val="0"/>
          <w:iCs w:val="0"/>
        </w:rPr>
      </w:sdtEndPr>
      <w:sdtContent>
        <w:sdt>
          <w:sdtPr>
            <w:rPr>
              <w:b/>
              <w:bCs/>
              <w:i/>
              <w:iCs/>
            </w:rPr>
            <w:id w:val="1916824275"/>
            <w:docPartObj>
              <w:docPartGallery w:val="Page Numbers (Top of Page)"/>
              <w:docPartUnique/>
            </w:docPartObj>
          </w:sdtPr>
          <w:sdtEndPr>
            <w:rPr>
              <w:b w:val="0"/>
              <w:bCs w:val="0"/>
              <w:i w:val="0"/>
              <w:iCs w:val="0"/>
            </w:rPr>
          </w:sdtEndPr>
          <w:sdtContent>
            <w:r w:rsidRPr="00883A5F">
              <w:rPr>
                <w:rFonts w:ascii="Arial" w:hAnsi="Arial"/>
                <w:bCs/>
                <w:sz w:val="16"/>
              </w:rPr>
              <w:t>© Newport Group, Inc. 2020. All rights reserved.</w:t>
            </w:r>
            <w:r>
              <w:rPr>
                <w:rFonts w:ascii="Arial" w:hAnsi="Arial"/>
                <w:bCs/>
                <w:sz w:val="16"/>
              </w:rPr>
              <w:t xml:space="preserve"> </w:t>
            </w:r>
            <w:bookmarkStart w:id="0" w:name="_GoBack"/>
            <w:r w:rsidRPr="00DB6591">
              <w:rPr>
                <w:rFonts w:ascii="Arial" w:hAnsi="Arial"/>
                <w:bCs/>
                <w:sz w:val="16"/>
              </w:rPr>
              <w:t>S003</w:t>
            </w:r>
            <w:r w:rsidR="002A649E">
              <w:rPr>
                <w:rFonts w:ascii="Arial" w:hAnsi="Arial"/>
                <w:bCs/>
                <w:sz w:val="16"/>
              </w:rPr>
              <w:t>1</w:t>
            </w:r>
            <w:bookmarkEnd w:id="0"/>
            <w:r w:rsidRPr="00DB6591">
              <w:rPr>
                <w:rFonts w:ascii="Arial" w:hAnsi="Arial"/>
                <w:bCs/>
                <w:sz w:val="16"/>
              </w:rPr>
              <w:t>-073020</w:t>
            </w:r>
          </w:sdtContent>
        </w:sdt>
      </w:sdtContent>
    </w:sdt>
  </w:p>
  <w:p w:rsidR="00B0072B" w:rsidRDefault="00B007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9E" w:rsidRDefault="002A6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6D" w:rsidRDefault="00EC0A6D" w:rsidP="00B0072B">
      <w:pPr>
        <w:spacing w:after="0" w:line="240" w:lineRule="auto"/>
      </w:pPr>
      <w:r>
        <w:separator/>
      </w:r>
    </w:p>
  </w:footnote>
  <w:footnote w:type="continuationSeparator" w:id="0">
    <w:p w:rsidR="00EC0A6D" w:rsidRDefault="00EC0A6D" w:rsidP="00B0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9E" w:rsidRDefault="002A6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2B" w:rsidRPr="00B0072B" w:rsidRDefault="00B0072B" w:rsidP="00B0072B">
    <w:pPr>
      <w:spacing w:after="0"/>
      <w:rPr>
        <w:rFonts w:ascii="Arial Bold" w:hAnsi="Arial Bold" w:cs="Arial"/>
        <w:b/>
        <w:bCs/>
        <w:sz w:val="30"/>
        <w:szCs w:val="30"/>
      </w:rPr>
    </w:pPr>
    <w:r w:rsidRPr="00B0072B">
      <w:rPr>
        <w:rFonts w:ascii="Arial Bold" w:hAnsi="Arial Bold" w:cs="Arial"/>
        <w:b/>
        <w:bCs/>
        <w:sz w:val="30"/>
        <w:szCs w:val="30"/>
      </w:rPr>
      <w:t>T</w:t>
    </w:r>
    <w:r>
      <w:rPr>
        <w:rFonts w:ascii="Arial Bold" w:hAnsi="Arial Bold" w:cs="Arial"/>
        <w:b/>
        <w:bCs/>
        <w:sz w:val="30"/>
        <w:szCs w:val="30"/>
      </w:rPr>
      <w:t>hird Party Billing Authorization</w:t>
    </w:r>
  </w:p>
  <w:p w:rsidR="00B0072B" w:rsidRPr="00B0072B" w:rsidRDefault="00B0072B" w:rsidP="00B0072B">
    <w:pPr>
      <w:spacing w:after="200"/>
      <w:rPr>
        <w:rFonts w:ascii="Arial Bold" w:hAnsi="Arial Bold" w:cs="Arial"/>
        <w:b/>
        <w:bCs/>
        <w:sz w:val="30"/>
        <w:szCs w:val="30"/>
      </w:rPr>
    </w:pPr>
    <w:r w:rsidRPr="00B0072B">
      <w:rPr>
        <w:rFonts w:ascii="Arial Bold" w:hAnsi="Arial Bold" w:cs="Arial"/>
        <w:b/>
        <w:bCs/>
        <w:sz w:val="30"/>
        <w:szCs w:val="30"/>
      </w:rPr>
      <w:t>T</w:t>
    </w:r>
    <w:r>
      <w:rPr>
        <w:rFonts w:ascii="Arial Bold" w:hAnsi="Arial Bold" w:cs="Arial"/>
        <w:b/>
        <w:bCs/>
        <w:sz w:val="30"/>
        <w:szCs w:val="30"/>
      </w:rPr>
      <w:t>erms</w:t>
    </w:r>
    <w:r w:rsidRPr="00B0072B">
      <w:rPr>
        <w:rFonts w:ascii="Arial Bold" w:hAnsi="Arial Bold" w:cs="Arial"/>
        <w:b/>
        <w:bCs/>
        <w:sz w:val="30"/>
        <w:szCs w:val="30"/>
      </w:rPr>
      <w:t xml:space="preserve"> </w:t>
    </w:r>
    <w:r>
      <w:rPr>
        <w:rFonts w:ascii="Arial Bold" w:hAnsi="Arial Bold" w:cs="Arial"/>
        <w:b/>
        <w:bCs/>
        <w:sz w:val="30"/>
        <w:szCs w:val="30"/>
      </w:rPr>
      <w:t>and</w:t>
    </w:r>
    <w:r w:rsidRPr="00B0072B">
      <w:rPr>
        <w:rFonts w:ascii="Arial Bold" w:hAnsi="Arial Bold" w:cs="Arial"/>
        <w:b/>
        <w:bCs/>
        <w:sz w:val="30"/>
        <w:szCs w:val="30"/>
      </w:rPr>
      <w:t xml:space="preserve"> C</w:t>
    </w:r>
    <w:r>
      <w:rPr>
        <w:rFonts w:ascii="Arial Bold" w:hAnsi="Arial Bold" w:cs="Arial"/>
        <w:b/>
        <w:bCs/>
        <w:sz w:val="30"/>
        <w:szCs w:val="30"/>
      </w:rPr>
      <w:t>onditions</w:t>
    </w:r>
    <w:r>
      <w:rPr>
        <w:rFonts w:ascii="Arial" w:hAnsi="Arial" w:cs="Arial"/>
        <w:b/>
        <w:i/>
        <w:noProof/>
      </w:rPr>
      <w:drawing>
        <wp:anchor distT="0" distB="0" distL="114300" distR="114300" simplePos="0" relativeHeight="251659264" behindDoc="1" locked="0" layoutInCell="1" allowOverlap="1" wp14:anchorId="66F4762E" wp14:editId="4B66BE58">
          <wp:simplePos x="0" y="0"/>
          <wp:positionH relativeFrom="page">
            <wp:posOffset>5393871</wp:posOffset>
          </wp:positionH>
          <wp:positionV relativeFrom="page">
            <wp:posOffset>295638</wp:posOffset>
          </wp:positionV>
          <wp:extent cx="1709928" cy="347472"/>
          <wp:effectExtent l="0" t="0" r="508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port Logo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928" cy="347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9E" w:rsidRDefault="002A6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22D8B"/>
    <w:multiLevelType w:val="hybridMultilevel"/>
    <w:tmpl w:val="3CAABB44"/>
    <w:lvl w:ilvl="0" w:tplc="72605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F7EC7"/>
    <w:multiLevelType w:val="hybridMultilevel"/>
    <w:tmpl w:val="8E5C0AFA"/>
    <w:lvl w:ilvl="0" w:tplc="967CA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D8"/>
    <w:rsid w:val="000C2FF8"/>
    <w:rsid w:val="001215C3"/>
    <w:rsid w:val="002A649E"/>
    <w:rsid w:val="00B0072B"/>
    <w:rsid w:val="00D07DD8"/>
    <w:rsid w:val="00E714D8"/>
    <w:rsid w:val="00EC0A6D"/>
    <w:rsid w:val="00F5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6465A"/>
  <w15:chartTrackingRefBased/>
  <w15:docId w15:val="{F4EF227C-8A86-4436-A152-C807B46E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714D8"/>
    <w:rPr>
      <w:rFonts w:ascii="Candara" w:hAnsi="Candara" w:hint="default"/>
      <w:b/>
      <w:bCs/>
      <w:i w:val="0"/>
      <w:iCs w:val="0"/>
      <w:color w:val="365F91"/>
      <w:sz w:val="20"/>
      <w:szCs w:val="20"/>
    </w:rPr>
  </w:style>
  <w:style w:type="character" w:customStyle="1" w:styleId="fontstyle21">
    <w:name w:val="fontstyle21"/>
    <w:basedOn w:val="DefaultParagraphFont"/>
    <w:rsid w:val="00E714D8"/>
    <w:rPr>
      <w:rFonts w:ascii="Candara" w:hAnsi="Candara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E714D8"/>
    <w:rPr>
      <w:rFonts w:ascii="Candara" w:hAnsi="Candara" w:hint="default"/>
      <w:b w:val="0"/>
      <w:bCs w:val="0"/>
      <w:i w:val="0"/>
      <w:iCs w:val="0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4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72B"/>
  </w:style>
  <w:style w:type="paragraph" w:styleId="Footer">
    <w:name w:val="footer"/>
    <w:basedOn w:val="Normal"/>
    <w:link w:val="FooterChar"/>
    <w:uiPriority w:val="99"/>
    <w:unhideWhenUsed/>
    <w:rsid w:val="00B00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Group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Lehmann, Lynn</dc:creator>
  <cp:keywords/>
  <dc:description/>
  <cp:lastModifiedBy>Hovanec, Nicki</cp:lastModifiedBy>
  <cp:revision>2</cp:revision>
  <dcterms:created xsi:type="dcterms:W3CDTF">2020-06-26T22:42:00Z</dcterms:created>
  <dcterms:modified xsi:type="dcterms:W3CDTF">2020-07-30T13:23:00Z</dcterms:modified>
</cp:coreProperties>
</file>